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:rsidR="00D131D4" w:rsidRPr="006006AA" w:rsidRDefault="00A66440" w:rsidP="00D131D4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32"/>
          <w:szCs w:val="32"/>
        </w:rPr>
        <w:t>Neural correlates of single- and dual-task walking in the real world</w:t>
      </w:r>
    </w:p>
    <w:p w:rsidR="00D131D4" w:rsidRPr="00625792" w:rsidRDefault="00D131D4" w:rsidP="00D131D4">
      <w:pPr>
        <w:rPr>
          <w:rFonts w:cs="Times New Roman"/>
          <w:b/>
          <w:szCs w:val="24"/>
        </w:rPr>
      </w:pPr>
      <w:r w:rsidRPr="00625792">
        <w:rPr>
          <w:rFonts w:cs="Times New Roman"/>
          <w:b/>
          <w:szCs w:val="24"/>
        </w:rPr>
        <w:t>Sar</w:t>
      </w:r>
      <w:r w:rsidR="00A66440">
        <w:rPr>
          <w:rFonts w:cs="Times New Roman"/>
          <w:b/>
          <w:szCs w:val="24"/>
        </w:rPr>
        <w:t>a Pizzamiglio,</w:t>
      </w:r>
      <w:r w:rsidRPr="00625792">
        <w:rPr>
          <w:rFonts w:cs="Times New Roman"/>
          <w:b/>
          <w:szCs w:val="24"/>
        </w:rPr>
        <w:t xml:space="preserve"> Usman Naeem</w:t>
      </w:r>
      <w:r>
        <w:rPr>
          <w:rFonts w:cs="Times New Roman"/>
          <w:b/>
          <w:szCs w:val="24"/>
        </w:rPr>
        <w:t>,</w:t>
      </w:r>
      <w:r w:rsidRPr="00625792">
        <w:rPr>
          <w:rFonts w:cs="Times New Roman"/>
          <w:b/>
          <w:szCs w:val="24"/>
        </w:rPr>
        <w:t xml:space="preserve"> Hassan Abdalla</w:t>
      </w:r>
      <w:r>
        <w:rPr>
          <w:rFonts w:cs="Times New Roman"/>
          <w:b/>
          <w:szCs w:val="24"/>
        </w:rPr>
        <w:t>,</w:t>
      </w:r>
      <w:r w:rsidRPr="00625792">
        <w:rPr>
          <w:rFonts w:cs="Times New Roman"/>
          <w:b/>
          <w:szCs w:val="24"/>
        </w:rPr>
        <w:t xml:space="preserve"> Duncan L. Turner</w:t>
      </w:r>
      <w:r w:rsidRPr="00625792">
        <w:rPr>
          <w:rFonts w:cs="Times New Roman"/>
          <w:b/>
          <w:szCs w:val="24"/>
          <w:vertAlign w:val="superscript"/>
        </w:rPr>
        <w:t>*</w:t>
      </w:r>
    </w:p>
    <w:p w:rsidR="00D131D4" w:rsidRDefault="00D131D4" w:rsidP="00D131D4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*</w:t>
      </w:r>
      <w:r w:rsidRPr="00625792">
        <w:rPr>
          <w:rFonts w:cs="Times New Roman"/>
          <w:b/>
          <w:szCs w:val="24"/>
        </w:rPr>
        <w:t>Correspondence:</w:t>
      </w:r>
      <w:r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Prof. Duncan L. Turner</w:t>
      </w:r>
      <w:r>
        <w:rPr>
          <w:rFonts w:cs="Times New Roman"/>
          <w:b/>
          <w:szCs w:val="24"/>
        </w:rPr>
        <w:br/>
      </w:r>
      <w:hyperlink r:id="rId11" w:history="1">
        <w:r w:rsidRPr="00DA3069">
          <w:rPr>
            <w:rStyle w:val="Hyperlink"/>
            <w:rFonts w:cs="Times New Roman"/>
            <w:color w:val="000000" w:themeColor="text1"/>
            <w:szCs w:val="24"/>
          </w:rPr>
          <w:t>d.l.turner@uel.ac.uk</w:t>
        </w:r>
      </w:hyperlink>
    </w:p>
    <w:p w:rsidR="00A66440" w:rsidRPr="00841187" w:rsidRDefault="00C75D42" w:rsidP="00C75D42">
      <w:pPr>
        <w:rPr>
          <w:b/>
          <w:szCs w:val="24"/>
        </w:rPr>
      </w:pPr>
      <w:r w:rsidRPr="00841187">
        <w:rPr>
          <w:b/>
          <w:szCs w:val="24"/>
        </w:rPr>
        <w:t xml:space="preserve">S1 - </w:t>
      </w:r>
      <w:r w:rsidR="00A66440" w:rsidRPr="00841187">
        <w:rPr>
          <w:b/>
          <w:szCs w:val="24"/>
        </w:rPr>
        <w:t>Time-frequency resolution trade-off</w:t>
      </w:r>
    </w:p>
    <w:p w:rsidR="00A66440" w:rsidRPr="00841187" w:rsidRDefault="00A66440" w:rsidP="00841187">
      <w:pPr>
        <w:jc w:val="both"/>
        <w:rPr>
          <w:bCs/>
          <w:noProof/>
          <w:sz w:val="20"/>
          <w:szCs w:val="24"/>
        </w:rPr>
      </w:pPr>
      <w:r w:rsidRPr="00841187">
        <w:rPr>
          <w:noProof/>
          <w:sz w:val="20"/>
          <w:szCs w:val="24"/>
          <w:lang w:val="en-GB" w:eastAsia="en-GB"/>
        </w:rPr>
        <w:drawing>
          <wp:inline distT="0" distB="0" distL="0" distR="0">
            <wp:extent cx="6208395" cy="34518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_Cz_ERSPs_GCBase_600msWS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1E8">
        <w:rPr>
          <w:b/>
          <w:sz w:val="20"/>
          <w:szCs w:val="24"/>
        </w:rPr>
        <w:t xml:space="preserve">Supplementary </w:t>
      </w:r>
      <w:r w:rsidRPr="00841187">
        <w:rPr>
          <w:b/>
          <w:sz w:val="20"/>
          <w:szCs w:val="24"/>
        </w:rPr>
        <w:t xml:space="preserve">Figure </w:t>
      </w:r>
      <w:r w:rsidR="00E03989" w:rsidRPr="00841187">
        <w:rPr>
          <w:b/>
          <w:sz w:val="20"/>
          <w:szCs w:val="24"/>
        </w:rPr>
        <w:fldChar w:fldCharType="begin"/>
      </w:r>
      <w:r w:rsidR="00C75D42" w:rsidRPr="00841187">
        <w:rPr>
          <w:b/>
          <w:sz w:val="20"/>
          <w:szCs w:val="24"/>
        </w:rPr>
        <w:instrText xml:space="preserve"> STYLEREF 1 \s </w:instrText>
      </w:r>
      <w:r w:rsidR="00E03989" w:rsidRPr="00841187">
        <w:rPr>
          <w:b/>
          <w:sz w:val="20"/>
          <w:szCs w:val="24"/>
        </w:rPr>
        <w:fldChar w:fldCharType="end"/>
      </w:r>
      <w:r w:rsidR="00E03989" w:rsidRPr="00841187">
        <w:rPr>
          <w:b/>
          <w:sz w:val="20"/>
          <w:szCs w:val="24"/>
        </w:rPr>
        <w:fldChar w:fldCharType="begin"/>
      </w:r>
      <w:r w:rsidR="00841187" w:rsidRPr="00841187">
        <w:rPr>
          <w:b/>
          <w:sz w:val="20"/>
          <w:szCs w:val="24"/>
        </w:rPr>
        <w:instrText xml:space="preserve"> STYLEREF 1 \s </w:instrText>
      </w:r>
      <w:r w:rsidR="00E03989" w:rsidRPr="00841187">
        <w:rPr>
          <w:b/>
          <w:sz w:val="20"/>
          <w:szCs w:val="24"/>
        </w:rPr>
        <w:fldChar w:fldCharType="end"/>
      </w:r>
      <w:r w:rsidR="00E03989" w:rsidRPr="00841187">
        <w:rPr>
          <w:b/>
          <w:sz w:val="20"/>
          <w:szCs w:val="24"/>
        </w:rPr>
        <w:fldChar w:fldCharType="begin"/>
      </w:r>
      <w:r w:rsidR="00841187" w:rsidRPr="00841187">
        <w:rPr>
          <w:b/>
          <w:sz w:val="20"/>
          <w:szCs w:val="24"/>
        </w:rPr>
        <w:instrText xml:space="preserve"> SEQ Figure \* ARABIC \s 1 </w:instrText>
      </w:r>
      <w:r w:rsidR="00E03989" w:rsidRPr="00841187">
        <w:rPr>
          <w:b/>
          <w:sz w:val="20"/>
          <w:szCs w:val="24"/>
        </w:rPr>
        <w:fldChar w:fldCharType="separate"/>
      </w:r>
      <w:r w:rsidR="00841187" w:rsidRPr="00841187">
        <w:rPr>
          <w:b/>
          <w:noProof/>
          <w:sz w:val="20"/>
          <w:szCs w:val="24"/>
        </w:rPr>
        <w:t>1</w:t>
      </w:r>
      <w:r w:rsidR="00E03989" w:rsidRPr="00841187">
        <w:rPr>
          <w:b/>
          <w:sz w:val="20"/>
          <w:szCs w:val="24"/>
        </w:rPr>
        <w:fldChar w:fldCharType="end"/>
      </w:r>
      <w:r w:rsidRPr="00841187">
        <w:rPr>
          <w:b/>
          <w:sz w:val="20"/>
          <w:szCs w:val="24"/>
        </w:rPr>
        <w:t>.</w:t>
      </w:r>
      <w:r w:rsidRPr="00841187">
        <w:rPr>
          <w:sz w:val="20"/>
          <w:szCs w:val="24"/>
        </w:rPr>
        <w:t xml:space="preserve"> Single-task walking all subjects (N=14) average ERSPs for Cz electrode, baseline is the log-spectrum of the mean gait cycle. Group-level significance was calculated via </w:t>
      </w:r>
      <w:r w:rsidR="00AF132E">
        <w:rPr>
          <w:sz w:val="20"/>
          <w:szCs w:val="24"/>
        </w:rPr>
        <w:t xml:space="preserve">a </w:t>
      </w:r>
      <w:r w:rsidRPr="00841187">
        <w:rPr>
          <w:sz w:val="20"/>
          <w:szCs w:val="24"/>
        </w:rPr>
        <w:t xml:space="preserve">bootstrapping method and </w:t>
      </w:r>
      <w:r w:rsidR="00AF132E">
        <w:rPr>
          <w:sz w:val="20"/>
          <w:szCs w:val="24"/>
        </w:rPr>
        <w:t>FDR</w:t>
      </w:r>
      <w:r w:rsidRPr="00841187">
        <w:rPr>
          <w:sz w:val="20"/>
          <w:szCs w:val="24"/>
        </w:rPr>
        <w:t xml:space="preserve"> correction for multiple comparisons (p &lt; 0.05) according to Wagner et al., 2012. A white mask is applied on those time-frequency bins (i.e. pixels) that did not pass the statistical test. Frequency values ranges from 5 Hz to 60 Hz, which limited the considerable time interval preventing the presentation of a full gait stride.</w:t>
      </w:r>
    </w:p>
    <w:p w:rsidR="00D326DA" w:rsidRPr="00841187" w:rsidRDefault="00D326DA" w:rsidP="00841187">
      <w:pPr>
        <w:jc w:val="both"/>
        <w:rPr>
          <w:sz w:val="20"/>
          <w:szCs w:val="24"/>
        </w:rPr>
      </w:pPr>
    </w:p>
    <w:p w:rsidR="00A66440" w:rsidRPr="00841187" w:rsidRDefault="00A66440" w:rsidP="00841187">
      <w:pPr>
        <w:pStyle w:val="NoSpacing"/>
        <w:keepNext/>
        <w:jc w:val="both"/>
        <w:rPr>
          <w:sz w:val="20"/>
          <w:szCs w:val="24"/>
        </w:rPr>
      </w:pPr>
      <w:r w:rsidRPr="00841187">
        <w:rPr>
          <w:noProof/>
          <w:sz w:val="20"/>
          <w:szCs w:val="24"/>
          <w:lang w:val="en-GB" w:eastAsia="en-GB"/>
        </w:rPr>
        <w:lastRenderedPageBreak/>
        <w:drawing>
          <wp:inline distT="0" distB="0" distL="0" distR="0">
            <wp:extent cx="6208395" cy="34518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T1_Cz_ERSPs_GCBase_600msWS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440" w:rsidRPr="00841187" w:rsidRDefault="002961E8" w:rsidP="00841187">
      <w:pPr>
        <w:pStyle w:val="Caption"/>
        <w:jc w:val="both"/>
        <w:rPr>
          <w:b w:val="0"/>
          <w:sz w:val="20"/>
        </w:rPr>
      </w:pPr>
      <w:r>
        <w:rPr>
          <w:sz w:val="20"/>
        </w:rPr>
        <w:t xml:space="preserve">Supplementary </w:t>
      </w:r>
      <w:r w:rsidR="00A66440" w:rsidRPr="00841187">
        <w:rPr>
          <w:sz w:val="20"/>
        </w:rPr>
        <w:t xml:space="preserve">Figure </w:t>
      </w:r>
      <w:r w:rsidR="00E03989" w:rsidRPr="00841187">
        <w:rPr>
          <w:sz w:val="20"/>
        </w:rPr>
        <w:fldChar w:fldCharType="begin"/>
      </w:r>
      <w:r w:rsidR="00841187" w:rsidRPr="00841187">
        <w:rPr>
          <w:sz w:val="20"/>
        </w:rPr>
        <w:instrText xml:space="preserve"> SEQ Figure \* ARABIC \s 1 </w:instrText>
      </w:r>
      <w:r w:rsidR="00E03989" w:rsidRPr="00841187">
        <w:rPr>
          <w:sz w:val="20"/>
        </w:rPr>
        <w:fldChar w:fldCharType="separate"/>
      </w:r>
      <w:r w:rsidR="00841187" w:rsidRPr="00841187">
        <w:rPr>
          <w:noProof/>
          <w:sz w:val="20"/>
        </w:rPr>
        <w:t>2</w:t>
      </w:r>
      <w:r w:rsidR="00E03989" w:rsidRPr="00841187">
        <w:rPr>
          <w:sz w:val="20"/>
        </w:rPr>
        <w:fldChar w:fldCharType="end"/>
      </w:r>
      <w:r w:rsidR="00A66440" w:rsidRPr="00841187">
        <w:rPr>
          <w:sz w:val="20"/>
        </w:rPr>
        <w:t xml:space="preserve">. </w:t>
      </w:r>
      <w:r w:rsidR="00A66440" w:rsidRPr="00841187">
        <w:rPr>
          <w:b w:val="0"/>
          <w:sz w:val="20"/>
        </w:rPr>
        <w:t xml:space="preserve">Dual-task1 walking (i.e. walking while conversing) all subjects (N=14) average ERSPs for Cz electrode, baseline is the log-spectrum of the mean gait cycle. Group-level significance was calculated via </w:t>
      </w:r>
      <w:r w:rsidR="00AF132E">
        <w:rPr>
          <w:b w:val="0"/>
          <w:sz w:val="20"/>
        </w:rPr>
        <w:t xml:space="preserve">a </w:t>
      </w:r>
      <w:r w:rsidR="00A66440" w:rsidRPr="00841187">
        <w:rPr>
          <w:b w:val="0"/>
          <w:sz w:val="20"/>
        </w:rPr>
        <w:t xml:space="preserve">bootstrapping method and </w:t>
      </w:r>
      <w:r w:rsidR="00AF132E">
        <w:rPr>
          <w:b w:val="0"/>
          <w:sz w:val="20"/>
        </w:rPr>
        <w:t>FDR</w:t>
      </w:r>
      <w:r w:rsidR="00A66440" w:rsidRPr="00841187">
        <w:rPr>
          <w:b w:val="0"/>
          <w:sz w:val="20"/>
        </w:rPr>
        <w:t xml:space="preserve"> correction for multiple comparisons (p &lt; 0.05) according to Wagner et al., 2012. A white mask is applied on those time-frequency bins (i.e. pixels) that did not pass the statistical test. Frequency</w:t>
      </w:r>
      <w:r w:rsidR="00D326DA" w:rsidRPr="00841187">
        <w:rPr>
          <w:b w:val="0"/>
          <w:sz w:val="20"/>
        </w:rPr>
        <w:t xml:space="preserve"> </w:t>
      </w:r>
      <w:r w:rsidR="00A66440" w:rsidRPr="00841187">
        <w:rPr>
          <w:b w:val="0"/>
          <w:sz w:val="20"/>
        </w:rPr>
        <w:t>values ranges from 5 Hz to 60 Hz, which limited the considerable time interval preventing the presentation of a full gait stride.</w:t>
      </w:r>
    </w:p>
    <w:p w:rsidR="00D326DA" w:rsidRPr="00841187" w:rsidRDefault="00D326DA" w:rsidP="00841187">
      <w:pPr>
        <w:pStyle w:val="NoSpacing"/>
        <w:jc w:val="both"/>
        <w:rPr>
          <w:sz w:val="20"/>
          <w:szCs w:val="24"/>
        </w:rPr>
      </w:pPr>
    </w:p>
    <w:p w:rsidR="00A66440" w:rsidRPr="00841187" w:rsidRDefault="00A66440" w:rsidP="00841187">
      <w:pPr>
        <w:pStyle w:val="NoSpacing"/>
        <w:keepNext/>
        <w:jc w:val="both"/>
        <w:rPr>
          <w:sz w:val="20"/>
          <w:szCs w:val="24"/>
        </w:rPr>
      </w:pPr>
      <w:r w:rsidRPr="00841187">
        <w:rPr>
          <w:noProof/>
          <w:sz w:val="20"/>
          <w:szCs w:val="24"/>
          <w:lang w:val="en-GB" w:eastAsia="en-GB"/>
        </w:rPr>
        <w:lastRenderedPageBreak/>
        <w:drawing>
          <wp:inline distT="0" distB="0" distL="0" distR="0">
            <wp:extent cx="6208395" cy="34518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T2_Cz_ERSPs_GCBase_600msWS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440" w:rsidRPr="00841187" w:rsidRDefault="002961E8" w:rsidP="00841187">
      <w:pPr>
        <w:pStyle w:val="Caption"/>
        <w:jc w:val="both"/>
        <w:rPr>
          <w:b w:val="0"/>
          <w:sz w:val="20"/>
        </w:rPr>
      </w:pPr>
      <w:r>
        <w:rPr>
          <w:sz w:val="20"/>
        </w:rPr>
        <w:t xml:space="preserve">Supplementary </w:t>
      </w:r>
      <w:r w:rsidR="00A66440" w:rsidRPr="00841187">
        <w:rPr>
          <w:sz w:val="20"/>
        </w:rPr>
        <w:t xml:space="preserve">Figure </w:t>
      </w:r>
      <w:r w:rsidR="00E03989" w:rsidRPr="00841187">
        <w:rPr>
          <w:sz w:val="20"/>
        </w:rPr>
        <w:fldChar w:fldCharType="begin"/>
      </w:r>
      <w:r w:rsidR="00841187" w:rsidRPr="00841187">
        <w:rPr>
          <w:sz w:val="20"/>
        </w:rPr>
        <w:instrText xml:space="preserve"> STYLEREF 1 \s </w:instrText>
      </w:r>
      <w:r w:rsidR="00E03989" w:rsidRPr="00841187">
        <w:rPr>
          <w:sz w:val="20"/>
        </w:rPr>
        <w:fldChar w:fldCharType="end"/>
      </w:r>
      <w:r w:rsidR="00E03989" w:rsidRPr="00841187">
        <w:rPr>
          <w:sz w:val="20"/>
        </w:rPr>
        <w:fldChar w:fldCharType="begin"/>
      </w:r>
      <w:r w:rsidR="00841187" w:rsidRPr="00841187">
        <w:rPr>
          <w:sz w:val="20"/>
        </w:rPr>
        <w:instrText xml:space="preserve"> SEQ Figure \* ARABIC \s 1 </w:instrText>
      </w:r>
      <w:r w:rsidR="00E03989" w:rsidRPr="00841187">
        <w:rPr>
          <w:sz w:val="20"/>
        </w:rPr>
        <w:fldChar w:fldCharType="separate"/>
      </w:r>
      <w:r w:rsidR="00841187" w:rsidRPr="00841187">
        <w:rPr>
          <w:noProof/>
          <w:sz w:val="20"/>
        </w:rPr>
        <w:t>3</w:t>
      </w:r>
      <w:r w:rsidR="00E03989" w:rsidRPr="00841187">
        <w:rPr>
          <w:sz w:val="20"/>
        </w:rPr>
        <w:fldChar w:fldCharType="end"/>
      </w:r>
      <w:r w:rsidR="00A66440" w:rsidRPr="00841187">
        <w:rPr>
          <w:sz w:val="20"/>
        </w:rPr>
        <w:t>.</w:t>
      </w:r>
      <w:r w:rsidR="00A66440" w:rsidRPr="00841187">
        <w:rPr>
          <w:b w:val="0"/>
          <w:sz w:val="20"/>
        </w:rPr>
        <w:t xml:space="preserve"> Dual-task2 walking (i.e. walking while texting with a smartphone) all subjects (N=14) average ERSPs for Cz electrode, baseline is the log-spectrum of the mean gait cycle. Group-level significance was calculated via </w:t>
      </w:r>
      <w:r w:rsidR="00AF132E">
        <w:rPr>
          <w:b w:val="0"/>
          <w:sz w:val="20"/>
        </w:rPr>
        <w:t xml:space="preserve">a </w:t>
      </w:r>
      <w:r w:rsidR="00A66440" w:rsidRPr="00841187">
        <w:rPr>
          <w:b w:val="0"/>
          <w:sz w:val="20"/>
        </w:rPr>
        <w:t xml:space="preserve">bootstrapping method and </w:t>
      </w:r>
      <w:r w:rsidR="00AF132E">
        <w:rPr>
          <w:b w:val="0"/>
          <w:sz w:val="20"/>
        </w:rPr>
        <w:t>FDR</w:t>
      </w:r>
      <w:r w:rsidR="00A66440" w:rsidRPr="00841187">
        <w:rPr>
          <w:b w:val="0"/>
          <w:sz w:val="20"/>
        </w:rPr>
        <w:t xml:space="preserve"> correction for multiple comparisons (p &lt; 0.05) according to Wagner et al., 2012. A white mask is applied on those time-frequency bins (i.e. pixels) that did not pass the statistical test. Frequency values ranges from 5 Hz to 60 Hz, which limited the considerable time interval preventing the presentation of a full gait stride.</w:t>
      </w:r>
    </w:p>
    <w:p w:rsidR="00841187" w:rsidRPr="00841187" w:rsidRDefault="00841187" w:rsidP="00841187">
      <w:pPr>
        <w:pStyle w:val="NoSpacing"/>
        <w:rPr>
          <w:szCs w:val="24"/>
        </w:rPr>
      </w:pPr>
    </w:p>
    <w:p w:rsidR="00841187" w:rsidRPr="00841187" w:rsidRDefault="00841187" w:rsidP="00841187">
      <w:pPr>
        <w:pStyle w:val="NoSpacing"/>
        <w:rPr>
          <w:szCs w:val="24"/>
        </w:rPr>
        <w:sectPr w:rsidR="00841187" w:rsidRPr="00841187" w:rsidSect="00A66440">
          <w:headerReference w:type="even" r:id="rId15"/>
          <w:footerReference w:type="even" r:id="rId16"/>
          <w:footerReference w:type="default" r:id="rId17"/>
          <w:headerReference w:type="first" r:id="rId18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:rsidR="00994A3D" w:rsidRPr="00841187" w:rsidRDefault="00C75D42" w:rsidP="00C75D42">
      <w:pPr>
        <w:rPr>
          <w:b/>
          <w:szCs w:val="24"/>
        </w:rPr>
      </w:pPr>
      <w:r w:rsidRPr="00841187">
        <w:rPr>
          <w:b/>
          <w:szCs w:val="24"/>
        </w:rPr>
        <w:lastRenderedPageBreak/>
        <w:t xml:space="preserve">S2 - </w:t>
      </w:r>
      <w:r w:rsidR="00A66440" w:rsidRPr="00841187">
        <w:rPr>
          <w:b/>
          <w:szCs w:val="24"/>
        </w:rPr>
        <w:t>Time-frequency analyses on electrodes close to face and neck</w:t>
      </w:r>
    </w:p>
    <w:p w:rsidR="00C75D42" w:rsidRPr="00841187" w:rsidRDefault="00C75D42" w:rsidP="00841187">
      <w:pPr>
        <w:pStyle w:val="Caption"/>
        <w:jc w:val="both"/>
        <w:rPr>
          <w:sz w:val="20"/>
        </w:rPr>
      </w:pPr>
      <w:r w:rsidRPr="00841187">
        <w:rPr>
          <w:noProof/>
          <w:sz w:val="20"/>
          <w:lang w:val="en-GB" w:eastAsia="en-GB"/>
        </w:rPr>
        <w:drawing>
          <wp:inline distT="0" distB="0" distL="0" distR="0">
            <wp:extent cx="8613140" cy="4752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Fig1_Frontal_RSBase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314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D42" w:rsidRPr="00841187" w:rsidRDefault="002961E8" w:rsidP="00841187">
      <w:pPr>
        <w:pStyle w:val="Caption"/>
        <w:jc w:val="both"/>
        <w:rPr>
          <w:b w:val="0"/>
          <w:sz w:val="20"/>
        </w:rPr>
      </w:pPr>
      <w:r>
        <w:rPr>
          <w:sz w:val="20"/>
        </w:rPr>
        <w:t xml:space="preserve">Supplementary </w:t>
      </w:r>
      <w:r w:rsidR="00C75D42" w:rsidRPr="00841187">
        <w:rPr>
          <w:sz w:val="20"/>
        </w:rPr>
        <w:t xml:space="preserve">Figure </w:t>
      </w:r>
      <w:r w:rsidR="00E03989" w:rsidRPr="00841187">
        <w:rPr>
          <w:sz w:val="20"/>
        </w:rPr>
        <w:fldChar w:fldCharType="begin"/>
      </w:r>
      <w:r w:rsidR="00841187" w:rsidRPr="00841187">
        <w:rPr>
          <w:sz w:val="20"/>
        </w:rPr>
        <w:instrText xml:space="preserve"> SEQ Figure \* ARABIC \s 1 </w:instrText>
      </w:r>
      <w:r w:rsidR="00E03989" w:rsidRPr="00841187">
        <w:rPr>
          <w:sz w:val="20"/>
        </w:rPr>
        <w:fldChar w:fldCharType="separate"/>
      </w:r>
      <w:r w:rsidR="00841187" w:rsidRPr="00841187">
        <w:rPr>
          <w:noProof/>
          <w:sz w:val="20"/>
        </w:rPr>
        <w:t>4</w:t>
      </w:r>
      <w:r w:rsidR="00E03989" w:rsidRPr="00841187">
        <w:rPr>
          <w:sz w:val="20"/>
        </w:rPr>
        <w:fldChar w:fldCharType="end"/>
      </w:r>
      <w:r w:rsidR="00841187" w:rsidRPr="00841187">
        <w:rPr>
          <w:sz w:val="20"/>
        </w:rPr>
        <w:t>.</w:t>
      </w:r>
      <w:r w:rsidR="00C75D42" w:rsidRPr="00841187">
        <w:rPr>
          <w:sz w:val="20"/>
        </w:rPr>
        <w:t xml:space="preserve"> Group-level time-frequency analyses across conditions for frontal electrodes with resting state baseline.</w:t>
      </w:r>
      <w:r w:rsidR="00C75D42" w:rsidRPr="00841187">
        <w:rPr>
          <w:b w:val="0"/>
          <w:sz w:val="20"/>
        </w:rPr>
        <w:t xml:space="preserve"> All subjects (N=14) average time (x axis) – frequency (y axis) representations of the spectral power of frontal electrodes are here reported for each condition (first row: single-task walking; second row: dual-task1 walking; third row: dual-task2 walking). The log spectrum of a 3 minutes period of resting state standing still with eyes-open was used as baseline. Colour-bars (dB) are constant across conditions and report increase (values &gt; 0, warm-colour coded) and decrease (values &lt; 0, cold-colour coded) of power spectrum with respect to the baseline. Group-level significance was calculated via </w:t>
      </w:r>
      <w:r w:rsidR="00AF132E">
        <w:rPr>
          <w:b w:val="0"/>
          <w:sz w:val="20"/>
        </w:rPr>
        <w:t xml:space="preserve">a </w:t>
      </w:r>
      <w:r w:rsidR="00C75D42" w:rsidRPr="00841187">
        <w:rPr>
          <w:b w:val="0"/>
          <w:sz w:val="20"/>
        </w:rPr>
        <w:t>bootstrapping method and FDR correction for multiple comparisons (p &lt; 0.05) according to Wagner et al., 2012. A white mask was applied on those time-frequency bins (i.e. pixels) that did not pass the statistical test.</w:t>
      </w:r>
    </w:p>
    <w:p w:rsidR="00841187" w:rsidRPr="00841187" w:rsidRDefault="00841187" w:rsidP="00841187">
      <w:pPr>
        <w:pStyle w:val="NoSpacing"/>
        <w:jc w:val="both"/>
        <w:rPr>
          <w:sz w:val="20"/>
        </w:rPr>
      </w:pPr>
    </w:p>
    <w:p w:rsidR="00C75D42" w:rsidRPr="00841187" w:rsidRDefault="00C75D42" w:rsidP="00841187">
      <w:pPr>
        <w:pStyle w:val="NoSpacing"/>
        <w:keepNext/>
        <w:jc w:val="both"/>
        <w:rPr>
          <w:sz w:val="20"/>
          <w:szCs w:val="24"/>
        </w:rPr>
      </w:pPr>
      <w:r w:rsidRPr="00841187">
        <w:rPr>
          <w:noProof/>
          <w:sz w:val="20"/>
          <w:szCs w:val="24"/>
          <w:lang w:val="en-GB" w:eastAsia="en-GB"/>
        </w:rPr>
        <w:drawing>
          <wp:inline distT="0" distB="0" distL="0" distR="0">
            <wp:extent cx="8613140" cy="4752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Fig3_Frontal_GCBase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314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187" w:rsidRPr="00841187" w:rsidRDefault="002961E8" w:rsidP="00841187">
      <w:pPr>
        <w:pStyle w:val="Caption"/>
        <w:jc w:val="both"/>
        <w:rPr>
          <w:b w:val="0"/>
          <w:sz w:val="20"/>
        </w:rPr>
      </w:pPr>
      <w:r>
        <w:rPr>
          <w:sz w:val="20"/>
        </w:rPr>
        <w:t xml:space="preserve">Supplementary </w:t>
      </w:r>
      <w:r w:rsidR="00C75D42" w:rsidRPr="00841187">
        <w:rPr>
          <w:sz w:val="20"/>
        </w:rPr>
        <w:t xml:space="preserve">Figure </w:t>
      </w:r>
      <w:r w:rsidR="00E03989" w:rsidRPr="00841187">
        <w:rPr>
          <w:sz w:val="20"/>
        </w:rPr>
        <w:fldChar w:fldCharType="begin"/>
      </w:r>
      <w:r w:rsidR="00841187" w:rsidRPr="00841187">
        <w:rPr>
          <w:sz w:val="20"/>
        </w:rPr>
        <w:instrText xml:space="preserve"> SEQ Figure \* ARABIC \s 1 </w:instrText>
      </w:r>
      <w:r w:rsidR="00E03989" w:rsidRPr="00841187">
        <w:rPr>
          <w:sz w:val="20"/>
        </w:rPr>
        <w:fldChar w:fldCharType="separate"/>
      </w:r>
      <w:r w:rsidR="00841187" w:rsidRPr="00841187">
        <w:rPr>
          <w:noProof/>
          <w:sz w:val="20"/>
        </w:rPr>
        <w:t>5</w:t>
      </w:r>
      <w:r w:rsidR="00E03989" w:rsidRPr="00841187">
        <w:rPr>
          <w:sz w:val="20"/>
        </w:rPr>
        <w:fldChar w:fldCharType="end"/>
      </w:r>
      <w:r w:rsidR="00C75D42" w:rsidRPr="00841187">
        <w:rPr>
          <w:sz w:val="20"/>
        </w:rPr>
        <w:t xml:space="preserve"> - Group-level time-frequency analyses across conditions for frontal electrodes with mean gait cycle baseline. </w:t>
      </w:r>
      <w:r w:rsidR="00C75D42" w:rsidRPr="00841187">
        <w:rPr>
          <w:b w:val="0"/>
          <w:sz w:val="20"/>
        </w:rPr>
        <w:t>All subjects (N=14) average time (x axis) – frequency (y axis) representations of the spectral power of frontal electrodes are here reported for each condition (first row: single-task walking; second row: dual-task1 walking; third row: dual-task2 walking). The mean gait cycle log spectrum was employed</w:t>
      </w:r>
      <w:r w:rsidR="00841187" w:rsidRPr="00841187">
        <w:rPr>
          <w:b w:val="0"/>
          <w:sz w:val="20"/>
        </w:rPr>
        <w:t xml:space="preserve"> as baseline</w:t>
      </w:r>
      <w:r w:rsidR="00C75D42" w:rsidRPr="00841187">
        <w:rPr>
          <w:b w:val="0"/>
          <w:sz w:val="20"/>
        </w:rPr>
        <w:t xml:space="preserve">. Colour-bars (dB) are constant across conditions and report increase (values &gt; 0, warm-colour coded) and decrease (values &lt; 0, cold-colour coded) of power spectrum with respect to </w:t>
      </w:r>
      <w:r w:rsidR="00841187" w:rsidRPr="00841187">
        <w:rPr>
          <w:b w:val="0"/>
          <w:sz w:val="20"/>
        </w:rPr>
        <w:t>the</w:t>
      </w:r>
      <w:r w:rsidR="00C75D42" w:rsidRPr="00841187">
        <w:rPr>
          <w:b w:val="0"/>
          <w:sz w:val="20"/>
        </w:rPr>
        <w:t xml:space="preserve"> baseline. Group-level significance was calculated via </w:t>
      </w:r>
      <w:r w:rsidR="00190292">
        <w:rPr>
          <w:b w:val="0"/>
          <w:sz w:val="20"/>
        </w:rPr>
        <w:t xml:space="preserve">a </w:t>
      </w:r>
      <w:r w:rsidR="00C75D42" w:rsidRPr="00841187">
        <w:rPr>
          <w:b w:val="0"/>
          <w:sz w:val="20"/>
        </w:rPr>
        <w:t>bootstrapping method and FDR correction for multiple comparisons (p &lt; 0.05) according to Wagner et al., 2012. A white mask was applied on those time-frequency bins (i.e. pixels) that did not pass the statistical test.</w:t>
      </w:r>
    </w:p>
    <w:p w:rsidR="00841187" w:rsidRPr="00841187" w:rsidRDefault="00841187" w:rsidP="00841187">
      <w:pPr>
        <w:pStyle w:val="NoSpacing"/>
        <w:keepNext/>
        <w:jc w:val="both"/>
        <w:rPr>
          <w:sz w:val="20"/>
          <w:szCs w:val="24"/>
        </w:rPr>
      </w:pPr>
      <w:r w:rsidRPr="00841187">
        <w:rPr>
          <w:noProof/>
          <w:sz w:val="20"/>
          <w:szCs w:val="24"/>
          <w:lang w:val="en-GB" w:eastAsia="en-GB"/>
        </w:rPr>
        <w:drawing>
          <wp:inline distT="0" distB="0" distL="0" distR="0">
            <wp:extent cx="8613140" cy="4752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Fig2_Posterior_RSBase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314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187" w:rsidRPr="00841187" w:rsidRDefault="002961E8" w:rsidP="00841187">
      <w:pPr>
        <w:pStyle w:val="Caption"/>
        <w:jc w:val="both"/>
        <w:rPr>
          <w:b w:val="0"/>
          <w:sz w:val="20"/>
        </w:rPr>
      </w:pPr>
      <w:r>
        <w:rPr>
          <w:sz w:val="20"/>
        </w:rPr>
        <w:t xml:space="preserve">Supplementary </w:t>
      </w:r>
      <w:r w:rsidR="00841187" w:rsidRPr="00841187">
        <w:rPr>
          <w:sz w:val="20"/>
        </w:rPr>
        <w:t xml:space="preserve">Figure </w:t>
      </w:r>
      <w:r w:rsidR="00E03989" w:rsidRPr="00841187">
        <w:rPr>
          <w:sz w:val="20"/>
        </w:rPr>
        <w:fldChar w:fldCharType="begin"/>
      </w:r>
      <w:r w:rsidR="00841187" w:rsidRPr="00841187">
        <w:rPr>
          <w:sz w:val="20"/>
        </w:rPr>
        <w:instrText xml:space="preserve"> SEQ Figure \* ARABIC \s 1 </w:instrText>
      </w:r>
      <w:r w:rsidR="00E03989" w:rsidRPr="00841187">
        <w:rPr>
          <w:sz w:val="20"/>
        </w:rPr>
        <w:fldChar w:fldCharType="separate"/>
      </w:r>
      <w:r w:rsidR="00841187" w:rsidRPr="00841187">
        <w:rPr>
          <w:noProof/>
          <w:sz w:val="20"/>
        </w:rPr>
        <w:t>6</w:t>
      </w:r>
      <w:r w:rsidR="00E03989" w:rsidRPr="00841187">
        <w:rPr>
          <w:sz w:val="20"/>
        </w:rPr>
        <w:fldChar w:fldCharType="end"/>
      </w:r>
      <w:r w:rsidR="00841187" w:rsidRPr="00841187">
        <w:rPr>
          <w:sz w:val="20"/>
        </w:rPr>
        <w:t xml:space="preserve"> - Group-level time-frequency analyses across conditions for posterior electrodes with resting state baseline.</w:t>
      </w:r>
      <w:r w:rsidR="00841187" w:rsidRPr="00841187">
        <w:rPr>
          <w:b w:val="0"/>
          <w:sz w:val="20"/>
        </w:rPr>
        <w:t xml:space="preserve"> All subjects (N=14) average time (x axis) – frequency (y axis) representations of the spectral power of posterior electrodes are here reported for each condition (first row: single-task walking; second row: dual-task1 walking; third row: dual-task2 walking). The log spectrum of a 3 minutes period of resting state standing still with eyes-open was used as baseline. Colour-bars (dB) are constant across conditions and report increase (values &gt; 0, warm-colour coded) and decrease (values &lt; 0, cold-colour coded) of power spectrum with respect to the baseline. Group-level significance was calculated via </w:t>
      </w:r>
      <w:r w:rsidR="00190292">
        <w:rPr>
          <w:b w:val="0"/>
          <w:sz w:val="20"/>
        </w:rPr>
        <w:t xml:space="preserve">a </w:t>
      </w:r>
      <w:r w:rsidR="00841187" w:rsidRPr="00841187">
        <w:rPr>
          <w:b w:val="0"/>
          <w:sz w:val="20"/>
        </w:rPr>
        <w:t>bootstrapping method and FDR correction for multiple comparisons (p &lt; 0.05) according to Wagner et al., 2012. A white mask was applied on those time-frequency bins (i.e. pixels) that did not pass the statistical test.</w:t>
      </w:r>
    </w:p>
    <w:p w:rsidR="00841187" w:rsidRPr="00841187" w:rsidRDefault="00841187" w:rsidP="00841187">
      <w:pPr>
        <w:pStyle w:val="NoSpacing"/>
        <w:jc w:val="both"/>
        <w:rPr>
          <w:sz w:val="20"/>
          <w:szCs w:val="24"/>
        </w:rPr>
      </w:pPr>
    </w:p>
    <w:p w:rsidR="00841187" w:rsidRPr="00841187" w:rsidRDefault="00841187" w:rsidP="00841187">
      <w:pPr>
        <w:pStyle w:val="NoSpacing"/>
        <w:keepNext/>
        <w:jc w:val="both"/>
        <w:rPr>
          <w:sz w:val="20"/>
          <w:szCs w:val="24"/>
        </w:rPr>
      </w:pPr>
      <w:r w:rsidRPr="00841187">
        <w:rPr>
          <w:noProof/>
          <w:sz w:val="20"/>
          <w:szCs w:val="24"/>
          <w:lang w:val="en-GB" w:eastAsia="en-GB"/>
        </w:rPr>
        <w:drawing>
          <wp:inline distT="0" distB="0" distL="0" distR="0">
            <wp:extent cx="8613140" cy="4752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Fig4_Posterior_GCBase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314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D42" w:rsidRPr="00841187" w:rsidRDefault="002961E8" w:rsidP="00841187">
      <w:pPr>
        <w:pStyle w:val="Caption"/>
        <w:jc w:val="both"/>
        <w:rPr>
          <w:sz w:val="20"/>
        </w:rPr>
      </w:pPr>
      <w:r>
        <w:rPr>
          <w:sz w:val="20"/>
        </w:rPr>
        <w:t xml:space="preserve">Supplementary </w:t>
      </w:r>
      <w:r w:rsidR="00841187" w:rsidRPr="00841187">
        <w:rPr>
          <w:sz w:val="20"/>
        </w:rPr>
        <w:t xml:space="preserve">Figure </w:t>
      </w:r>
      <w:r w:rsidR="00E03989" w:rsidRPr="00841187">
        <w:rPr>
          <w:sz w:val="20"/>
        </w:rPr>
        <w:fldChar w:fldCharType="begin"/>
      </w:r>
      <w:r w:rsidR="00841187" w:rsidRPr="00841187">
        <w:rPr>
          <w:sz w:val="20"/>
        </w:rPr>
        <w:instrText xml:space="preserve"> SEQ Figure \* ARABIC \s 1 </w:instrText>
      </w:r>
      <w:r w:rsidR="00E03989" w:rsidRPr="00841187">
        <w:rPr>
          <w:sz w:val="20"/>
        </w:rPr>
        <w:fldChar w:fldCharType="separate"/>
      </w:r>
      <w:r w:rsidR="00841187" w:rsidRPr="00841187">
        <w:rPr>
          <w:noProof/>
          <w:sz w:val="20"/>
        </w:rPr>
        <w:t>7</w:t>
      </w:r>
      <w:r w:rsidR="00E03989" w:rsidRPr="00841187">
        <w:rPr>
          <w:sz w:val="20"/>
        </w:rPr>
        <w:fldChar w:fldCharType="end"/>
      </w:r>
      <w:r w:rsidR="00841187" w:rsidRPr="00841187">
        <w:rPr>
          <w:sz w:val="20"/>
        </w:rPr>
        <w:t xml:space="preserve"> - Group-level time-frequency analyses across conditions for posterior electrodes with mean gait cycle baseline. </w:t>
      </w:r>
      <w:r w:rsidR="00841187" w:rsidRPr="00841187">
        <w:rPr>
          <w:b w:val="0"/>
          <w:sz w:val="20"/>
        </w:rPr>
        <w:t>All subjects (N=14) average time (x axis) – frequency (y axis) representations of the spectral power of posterior electrodes are here reported for each condition (first row: single-task walking; second row: dual-task1 walking; third row: dual-task2 walking). The mean gait cycle log spectrum was employed as baseline. Colour-bars (dB) are constant across conditions and report increase (values &gt; 0, warm-colour coded) and decrease (values &lt; 0, cold-colour coded) of power spectrum with respect to the baseline. Group-level significance was calculated via</w:t>
      </w:r>
      <w:r w:rsidR="00190292">
        <w:rPr>
          <w:b w:val="0"/>
          <w:sz w:val="20"/>
        </w:rPr>
        <w:t xml:space="preserve"> a</w:t>
      </w:r>
      <w:r w:rsidR="00841187" w:rsidRPr="00841187">
        <w:rPr>
          <w:b w:val="0"/>
          <w:sz w:val="20"/>
        </w:rPr>
        <w:t xml:space="preserve"> bootstrapping method and FDR correction for multiple comparisons (p &lt; 0.05) according to Wagner et al., 2012. A white mask was applied on those time-frequency bins (i.e. pixels) that did not pass the statistical test.</w:t>
      </w:r>
    </w:p>
    <w:sectPr w:rsidR="00C75D42" w:rsidRPr="00841187" w:rsidSect="00A66440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F2A" w:rsidRDefault="008D2F2A" w:rsidP="00117666">
      <w:pPr>
        <w:spacing w:after="0"/>
      </w:pPr>
      <w:r>
        <w:separator/>
      </w:r>
    </w:p>
  </w:endnote>
  <w:endnote w:type="continuationSeparator" w:id="0">
    <w:p w:rsidR="008D2F2A" w:rsidRDefault="008D2F2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81A" w:rsidRPr="00577C4C" w:rsidRDefault="00C24F2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5481A" w:rsidRPr="00577C4C" w:rsidRDefault="00E0398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65481A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24F2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" filled="f" stroked="f" strokeweight=".5pt">
              <v:path arrowok="t"/>
              <v:textbox style="mso-fit-shape-to-text:t">
                <w:txbxContent>
                  <w:p w:rsidR="0065481A" w:rsidRPr="00577C4C" w:rsidRDefault="00E0398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65481A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24F2B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81A" w:rsidRPr="00577C4C" w:rsidRDefault="00C24F2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5481A" w:rsidRPr="00577C4C" w:rsidRDefault="00E0398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65481A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24F2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" filled="f" stroked="f" strokeweight=".5pt">
              <v:path arrowok="t"/>
              <v:textbox style="mso-fit-shape-to-text:t">
                <w:txbxContent>
                  <w:p w:rsidR="0065481A" w:rsidRPr="00577C4C" w:rsidRDefault="00E0398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65481A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24F2B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F2A" w:rsidRDefault="008D2F2A" w:rsidP="00117666">
      <w:pPr>
        <w:spacing w:after="0"/>
      </w:pPr>
      <w:r>
        <w:separator/>
      </w:r>
    </w:p>
  </w:footnote>
  <w:footnote w:type="continuationSeparator" w:id="0">
    <w:p w:rsidR="008D2F2A" w:rsidRDefault="008D2F2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81A" w:rsidRPr="00546849" w:rsidRDefault="00546849" w:rsidP="00546849">
    <w:pPr>
      <w:pStyle w:val="Header"/>
    </w:pPr>
    <w:r w:rsidRPr="005A1D84">
      <w:rPr>
        <w:b w:val="0"/>
        <w:noProof/>
        <w:color w:val="A6A6A6" w:themeColor="background1" w:themeShade="A6"/>
        <w:lang w:val="en-GB" w:eastAsia="en-GB"/>
      </w:rPr>
      <w:drawing>
        <wp:inline distT="0" distB="0" distL="0" distR="0">
          <wp:extent cx="1382534" cy="497091"/>
          <wp:effectExtent l="0" t="0" r="0" b="0"/>
          <wp:docPr id="11" name="Picture 11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81A" w:rsidRDefault="0065481A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41AFA"/>
    <w:multiLevelType w:val="multilevel"/>
    <w:tmpl w:val="327056F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0640368"/>
    <w:multiLevelType w:val="hybridMultilevel"/>
    <w:tmpl w:val="BC802E7C"/>
    <w:lvl w:ilvl="0" w:tplc="94CCFBD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trackRevisions/>
  <w:defaultTabStop w:val="720"/>
  <w:evenAndOddHeaders/>
  <w:characterSpacingControl w:val="doNotCompress"/>
  <w:hdrShapeDefaults>
    <o:shapedefaults v:ext="edit" spidmax="41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1D4"/>
    <w:rsid w:val="0001436A"/>
    <w:rsid w:val="00034304"/>
    <w:rsid w:val="00035434"/>
    <w:rsid w:val="00052666"/>
    <w:rsid w:val="00052A14"/>
    <w:rsid w:val="00053CF0"/>
    <w:rsid w:val="00077D53"/>
    <w:rsid w:val="00092E2A"/>
    <w:rsid w:val="000A7F3B"/>
    <w:rsid w:val="000C73B2"/>
    <w:rsid w:val="00105FD9"/>
    <w:rsid w:val="00110C03"/>
    <w:rsid w:val="00117666"/>
    <w:rsid w:val="00143EE3"/>
    <w:rsid w:val="001549D3"/>
    <w:rsid w:val="00160065"/>
    <w:rsid w:val="00177D84"/>
    <w:rsid w:val="001807DA"/>
    <w:rsid w:val="00185F30"/>
    <w:rsid w:val="00190292"/>
    <w:rsid w:val="001963C7"/>
    <w:rsid w:val="001D1467"/>
    <w:rsid w:val="00203FCE"/>
    <w:rsid w:val="0021113B"/>
    <w:rsid w:val="00267D18"/>
    <w:rsid w:val="002713B0"/>
    <w:rsid w:val="002868E2"/>
    <w:rsid w:val="002869C3"/>
    <w:rsid w:val="002936E4"/>
    <w:rsid w:val="002961E8"/>
    <w:rsid w:val="002B447C"/>
    <w:rsid w:val="002B4A57"/>
    <w:rsid w:val="002C74CA"/>
    <w:rsid w:val="002C7DE7"/>
    <w:rsid w:val="003177F5"/>
    <w:rsid w:val="003544FB"/>
    <w:rsid w:val="00392176"/>
    <w:rsid w:val="003D2F2D"/>
    <w:rsid w:val="00401590"/>
    <w:rsid w:val="004169DE"/>
    <w:rsid w:val="00447801"/>
    <w:rsid w:val="00452E9C"/>
    <w:rsid w:val="004735C8"/>
    <w:rsid w:val="004961FF"/>
    <w:rsid w:val="00517A89"/>
    <w:rsid w:val="005250F2"/>
    <w:rsid w:val="00542045"/>
    <w:rsid w:val="00546849"/>
    <w:rsid w:val="00566127"/>
    <w:rsid w:val="00570521"/>
    <w:rsid w:val="00593EEA"/>
    <w:rsid w:val="005A5EEE"/>
    <w:rsid w:val="005C18A2"/>
    <w:rsid w:val="005C57FD"/>
    <w:rsid w:val="005D08B9"/>
    <w:rsid w:val="005E7F4C"/>
    <w:rsid w:val="005F5361"/>
    <w:rsid w:val="0061381E"/>
    <w:rsid w:val="00636B27"/>
    <w:rsid w:val="006375C7"/>
    <w:rsid w:val="0065481A"/>
    <w:rsid w:val="00654E8F"/>
    <w:rsid w:val="00660D05"/>
    <w:rsid w:val="006641CD"/>
    <w:rsid w:val="006820B1"/>
    <w:rsid w:val="006B7D14"/>
    <w:rsid w:val="00701727"/>
    <w:rsid w:val="0070566C"/>
    <w:rsid w:val="00714C50"/>
    <w:rsid w:val="00725A7D"/>
    <w:rsid w:val="007269FC"/>
    <w:rsid w:val="00727A12"/>
    <w:rsid w:val="007501BE"/>
    <w:rsid w:val="00790BB3"/>
    <w:rsid w:val="007A7012"/>
    <w:rsid w:val="007C206C"/>
    <w:rsid w:val="007F0561"/>
    <w:rsid w:val="00817DD6"/>
    <w:rsid w:val="00821086"/>
    <w:rsid w:val="00841187"/>
    <w:rsid w:val="00885156"/>
    <w:rsid w:val="008D2F2A"/>
    <w:rsid w:val="009146B7"/>
    <w:rsid w:val="009151AA"/>
    <w:rsid w:val="0093429D"/>
    <w:rsid w:val="00943573"/>
    <w:rsid w:val="00970F7D"/>
    <w:rsid w:val="00994A3D"/>
    <w:rsid w:val="009C2B12"/>
    <w:rsid w:val="009D1A43"/>
    <w:rsid w:val="00A011AF"/>
    <w:rsid w:val="00A07100"/>
    <w:rsid w:val="00A15F19"/>
    <w:rsid w:val="00A174D9"/>
    <w:rsid w:val="00A36F74"/>
    <w:rsid w:val="00A66440"/>
    <w:rsid w:val="00AB6715"/>
    <w:rsid w:val="00AF132E"/>
    <w:rsid w:val="00B1671E"/>
    <w:rsid w:val="00B25EB8"/>
    <w:rsid w:val="00B37F4D"/>
    <w:rsid w:val="00B50F64"/>
    <w:rsid w:val="00B649D8"/>
    <w:rsid w:val="00B775E6"/>
    <w:rsid w:val="00BD50E5"/>
    <w:rsid w:val="00C24F2B"/>
    <w:rsid w:val="00C52A7B"/>
    <w:rsid w:val="00C56BAF"/>
    <w:rsid w:val="00C679AA"/>
    <w:rsid w:val="00C75972"/>
    <w:rsid w:val="00C75D42"/>
    <w:rsid w:val="00CC359A"/>
    <w:rsid w:val="00CD066B"/>
    <w:rsid w:val="00CE4FEE"/>
    <w:rsid w:val="00CF5915"/>
    <w:rsid w:val="00D131D4"/>
    <w:rsid w:val="00D162FD"/>
    <w:rsid w:val="00D326DA"/>
    <w:rsid w:val="00D35355"/>
    <w:rsid w:val="00D65F8F"/>
    <w:rsid w:val="00D75C1B"/>
    <w:rsid w:val="00D84AAC"/>
    <w:rsid w:val="00DB37AA"/>
    <w:rsid w:val="00DB59C3"/>
    <w:rsid w:val="00DC259A"/>
    <w:rsid w:val="00DD2346"/>
    <w:rsid w:val="00DE0C98"/>
    <w:rsid w:val="00DE2374"/>
    <w:rsid w:val="00DE23E8"/>
    <w:rsid w:val="00DE7AD4"/>
    <w:rsid w:val="00DF3B9B"/>
    <w:rsid w:val="00E03989"/>
    <w:rsid w:val="00E52377"/>
    <w:rsid w:val="00E64E17"/>
    <w:rsid w:val="00E866C9"/>
    <w:rsid w:val="00EA3D3C"/>
    <w:rsid w:val="00F46900"/>
    <w:rsid w:val="00F61D89"/>
    <w:rsid w:val="00FB7DDD"/>
    <w:rsid w:val="00FD09C6"/>
    <w:rsid w:val="00FD5F58"/>
    <w:rsid w:val="00FE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."/>
  <w:listSeparator w:val=","/>
  <w15:docId w15:val="{666D1DD5-528A-42FF-9D29-53465CCA3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tif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7.tiff"/><Relationship Id="rId7" Type="http://schemas.openxmlformats.org/officeDocument/2006/relationships/settings" Target="settings.xml"/><Relationship Id="rId12" Type="http://schemas.openxmlformats.org/officeDocument/2006/relationships/image" Target="media/image1.tif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.l.turner@uel.ac.uk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tiff"/><Relationship Id="rId22" Type="http://schemas.openxmlformats.org/officeDocument/2006/relationships/image" Target="media/image8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DocumentType xmlns="684028b4-177f-4616-bee8-7fd0d2a07079">Data Sheet</DocumentType>
    <DocumentId xmlns="684028b4-177f-4616-bee8-7fd0d2a07079">Data Sheet 1.DOCX</DocumentId>
    <Checked_x0020_Out_x0020_To xmlns="684028b4-177f-4616-bee8-7fd0d2a07079">
      <UserInfo>
        <DisplayName/>
        <AccountId xsi:nil="true"/>
        <AccountType/>
      </UserInfo>
    </Checked_x0020_Out_x0020_To>
    <StageName xmlns="684028b4-177f-4616-bee8-7fd0d2a07079" xsi:nil="true"/>
    <IsDeleted xmlns="684028b4-177f-4616-bee8-7fd0d2a07079">false</IsDeleted>
    <FileFormat xmlns="684028b4-177f-4616-bee8-7fd0d2a07079">DOCX</FileFormat>
    <TitleName xmlns="684028b4-177f-4616-bee8-7fd0d2a07079">Data Sheet 1.DOCX</TitleNam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0D8E41E5925D438EA67F87E3A12AB2" ma:contentTypeVersion="7" ma:contentTypeDescription="Create a new document." ma:contentTypeScope="" ma:versionID="8bdd17edd7841309b011f05307ad384b">
  <xsd:schema xmlns:xsd="http://www.w3.org/2001/XMLSchema" xmlns:p="http://schemas.microsoft.com/office/2006/metadata/properties" xmlns:ns2="684028b4-177f-4616-bee8-7fd0d2a07079" targetNamespace="http://schemas.microsoft.com/office/2006/metadata/properties" ma:root="true" ma:fieldsID="04bb468a12bc5f450ddbcfab054fe475" ns2:_="">
    <xsd:import namespace="684028b4-177f-4616-bee8-7fd0d2a07079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684028b4-177f-4616-bee8-7fd0d2a07079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7F0A0A6-256F-40F4-BCD0-24D78A23BC3D}">
  <ds:schemaRefs>
    <ds:schemaRef ds:uri="684028b4-177f-4616-bee8-7fd0d2a07079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E35D7DB-7844-4164-9D70-E1890003A7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13BD05-C36C-4861-8D90-1C3F21F9DC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4028b4-177f-4616-bee8-7fd0d2a0707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ED3A8DB-359E-45C8-9BB3-5F2A1F6BE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911</Words>
  <Characters>5196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Pizzamiglio</dc:creator>
  <cp:lastModifiedBy>Leo C Watkinson</cp:lastModifiedBy>
  <cp:revision>2</cp:revision>
  <cp:lastPrinted>2013-10-03T12:51:00Z</cp:lastPrinted>
  <dcterms:created xsi:type="dcterms:W3CDTF">2017-09-15T14:46:00Z</dcterms:created>
  <dcterms:modified xsi:type="dcterms:W3CDTF">2017-09-15T14:46:00Z</dcterms:modified>
</cp:coreProperties>
</file>